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96" w:rsidRDefault="009E7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051"/>
      </w:tblGrid>
      <w:tr w:rsidR="009E7A96">
        <w:tc>
          <w:tcPr>
            <w:tcW w:w="907" w:type="dxa"/>
          </w:tcPr>
          <w:p w:rsidR="009E7A96" w:rsidRDefault="00034A26">
            <w:pPr>
              <w:spacing w:line="360" w:lineRule="auto"/>
              <w:ind w:left="0" w:hanging="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:rsidR="009E7A96" w:rsidRDefault="009E7A96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9E7A96" w:rsidRDefault="00034A26">
      <w:pPr>
        <w:tabs>
          <w:tab w:val="left" w:pos="2327"/>
        </w:tabs>
        <w:spacing w:line="360" w:lineRule="auto"/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:rsidR="009E7A96" w:rsidRDefault="009E7A96">
      <w:pPr>
        <w:tabs>
          <w:tab w:val="left" w:pos="2327"/>
        </w:tabs>
        <w:spacing w:line="36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tbl>
      <w:tblPr>
        <w:tblStyle w:val="a2"/>
        <w:tblW w:w="10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4713"/>
        <w:gridCol w:w="2425"/>
      </w:tblGrid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CARRERA</w:t>
            </w:r>
          </w:p>
        </w:tc>
        <w:tc>
          <w:tcPr>
            <w:tcW w:w="7138" w:type="dxa"/>
            <w:gridSpan w:val="2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PROFESORADO DE EDUCACIÓN FÍSICA</w:t>
            </w:r>
          </w:p>
        </w:tc>
      </w:tr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CAMPO Y TRAYECTO</w:t>
            </w:r>
          </w:p>
        </w:tc>
        <w:tc>
          <w:tcPr>
            <w:tcW w:w="7138" w:type="dxa"/>
            <w:gridSpan w:val="2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RECREACIÓN</w:t>
            </w:r>
          </w:p>
        </w:tc>
      </w:tr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UNIDAD CURRICULAR</w:t>
            </w:r>
          </w:p>
        </w:tc>
        <w:tc>
          <w:tcPr>
            <w:tcW w:w="7138" w:type="dxa"/>
            <w:gridSpan w:val="2"/>
          </w:tcPr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RECREACIÓN EN LA NATURALEZA</w:t>
            </w:r>
          </w:p>
        </w:tc>
      </w:tr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FORMATO</w:t>
            </w:r>
          </w:p>
        </w:tc>
        <w:tc>
          <w:tcPr>
            <w:tcW w:w="4713" w:type="dxa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TALLER</w:t>
            </w:r>
          </w:p>
        </w:tc>
        <w:tc>
          <w:tcPr>
            <w:tcW w:w="2425" w:type="dxa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AÑO: 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202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2</w:t>
            </w:r>
          </w:p>
        </w:tc>
      </w:tr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RESOLUCIÓN: </w:t>
            </w:r>
          </w:p>
        </w:tc>
        <w:tc>
          <w:tcPr>
            <w:tcW w:w="4713" w:type="dxa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RÉGIMEN: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SEMESTRAL</w:t>
            </w:r>
          </w:p>
        </w:tc>
        <w:tc>
          <w:tcPr>
            <w:tcW w:w="2425" w:type="dxa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HORAS SEMANALES: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</w:tr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PROFESORES</w:t>
            </w:r>
          </w:p>
        </w:tc>
        <w:tc>
          <w:tcPr>
            <w:tcW w:w="7138" w:type="dxa"/>
            <w:gridSpan w:val="2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SEDE GODOY CRUZ</w:t>
            </w:r>
          </w:p>
        </w:tc>
      </w:tr>
      <w:tr w:rsidR="009E7A96"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CAPACIDADES DEL TRAYECTO</w:t>
            </w:r>
          </w:p>
        </w:tc>
        <w:tc>
          <w:tcPr>
            <w:tcW w:w="7138" w:type="dxa"/>
            <w:gridSpan w:val="2"/>
          </w:tcPr>
          <w:p w:rsidR="009E7A96" w:rsidRDefault="00034A2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Comprometerse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propio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proceso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formativo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Autonomía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).</w:t>
            </w:r>
          </w:p>
          <w:p w:rsidR="009E7A96" w:rsidRDefault="00034A2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Desarrollar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Aspecto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Cooperativo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Trabajo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con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otrxs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).</w:t>
            </w:r>
          </w:p>
          <w:p w:rsidR="009E7A96" w:rsidRDefault="00034A26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Constituir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un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Posicionamiento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Ideológico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Dominar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saberes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del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campo de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Recreación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Desarrollar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múltiples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competencias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gestión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conducción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propuesta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educativa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entorno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natural. </w:t>
            </w:r>
          </w:p>
        </w:tc>
      </w:tr>
      <w:tr w:rsidR="009E7A96">
        <w:trPr>
          <w:trHeight w:val="388"/>
        </w:trPr>
        <w:tc>
          <w:tcPr>
            <w:tcW w:w="3545" w:type="dxa"/>
            <w:vAlign w:val="center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EXPECTATIVAS DE LOGRO DE LA UNIDAD CURRICULAR</w:t>
            </w:r>
          </w:p>
        </w:tc>
        <w:tc>
          <w:tcPr>
            <w:tcW w:w="7138" w:type="dxa"/>
            <w:gridSpan w:val="2"/>
          </w:tcPr>
          <w:p w:rsidR="009E7A96" w:rsidRDefault="00034A2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necesario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estudiantes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comprometan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proceso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educativo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donde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participen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acti</w:t>
            </w:r>
            <w:r>
              <w:rPr>
                <w:rFonts w:ascii="Tahoma" w:eastAsia="Tahoma" w:hAnsi="Tahoma" w:cs="Tahoma"/>
                <w:sz w:val="22"/>
                <w:szCs w:val="22"/>
              </w:rPr>
              <w:t>vamente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siendo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protagonistas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. Para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ello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se define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metodología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organización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estudiantes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sea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efectiva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útil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con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modelo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autogestión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tienda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fortalecer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ellos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autonomía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personal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sus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propias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capacidades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actividades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físicas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recreación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ambientes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naturales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.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rol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estudiantes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deberá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“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protagonista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” y el de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profesores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general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líder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democrático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”, o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facilitador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situación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aprendizaje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MARCO REFERENCIAL: (FUNDAMENTACIÓN –JUSTIFICACIÓN): </w:t>
            </w: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contenidos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organizados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torno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unidad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curricular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tienen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intención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propiciar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conocimiento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sensibilización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sobre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actividades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físicas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ambientes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naturales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recreación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. Durante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proceso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trata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futuro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docente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vivencie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propuestas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durante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desarrollo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clase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semanal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aula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teórico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práctica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salida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al campo y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campamento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PROGRAMA ANALITICO:</w:t>
            </w:r>
          </w:p>
          <w:p w:rsidR="009E7A96" w:rsidRDefault="00034A2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EJE 1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Enfoques</w:t>
            </w:r>
            <w:proofErr w:type="spellEnd"/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E7A96" w:rsidRDefault="00034A26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Enfoque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Interdisciplinario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globalizador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Teoría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aprendizaje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significativo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Teoría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Inteligencias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múltiples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Educación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Ambiental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recreación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Pre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campamento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Campamento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– Post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campamento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Calidad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Recreación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E7A96" w:rsidRDefault="00034A2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lastRenderedPageBreak/>
              <w:t xml:space="preserve">EJE 2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rácticas</w:t>
            </w:r>
            <w:proofErr w:type="spellEnd"/>
          </w:p>
          <w:p w:rsidR="009E7A96" w:rsidRDefault="00034A2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:rsidR="009E7A96" w:rsidRDefault="00034A26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Aprendizaje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basado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Adaptación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Motriz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Ambiental</w:t>
            </w:r>
            <w:proofErr w:type="spellEnd"/>
          </w:p>
          <w:p w:rsidR="009E7A96" w:rsidRDefault="00034A26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juego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como</w:t>
            </w:r>
            <w:proofErr w:type="spellEnd"/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recurso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didáctico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Juegos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Cooperativos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Canciones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Rondas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8E66B1" w:rsidRDefault="008E66B1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E7A96" w:rsidRDefault="00034A2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EJE 3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Resoluciones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Proyectos</w:t>
            </w:r>
            <w:proofErr w:type="spellEnd"/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E7A96" w:rsidRDefault="00034A26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Resolución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1000/2017 “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Salidas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Escolares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” de la DGE.</w:t>
            </w:r>
          </w:p>
          <w:p w:rsidR="009E7A96" w:rsidRDefault="00034A26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Integrado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Vida en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Naturaleza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Diseño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elaboración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  <w:lastRenderedPageBreak/>
              <w:t xml:space="preserve">MAPA CONCEPTUAL   </w:t>
            </w:r>
          </w:p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</w:pPr>
            <w:bookmarkStart w:id="1" w:name="_heading=h.d1pg28hzdr0e" w:colFirst="0" w:colLast="0"/>
            <w:bookmarkStart w:id="2" w:name="_heading=h.pea2ajffowjy" w:colFirst="0" w:colLast="0"/>
            <w:bookmarkStart w:id="3" w:name="_heading=h.9hwd1ubdeh2b" w:colFirst="0" w:colLast="0"/>
            <w:bookmarkStart w:id="4" w:name="_heading=h.pckn3qwidfu0" w:colFirst="0" w:colLast="0"/>
            <w:bookmarkStart w:id="5" w:name="_heading=h.qae64r2cld41" w:colFirst="0" w:colLast="0"/>
            <w:bookmarkEnd w:id="1"/>
            <w:bookmarkEnd w:id="2"/>
            <w:bookmarkEnd w:id="3"/>
            <w:bookmarkEnd w:id="4"/>
            <w:bookmarkEnd w:id="5"/>
            <w:r>
              <w:rPr>
                <w:rFonts w:ascii="Tahoma" w:eastAsia="Tahoma" w:hAnsi="Tahoma" w:cs="Tahoma"/>
                <w:b/>
                <w:smallCaps/>
                <w:noProof/>
                <w:sz w:val="18"/>
                <w:szCs w:val="18"/>
                <w:lang w:val="es-AR" w:eastAsia="es-AR"/>
              </w:rPr>
              <w:drawing>
                <wp:inline distT="114300" distB="114300" distL="114300" distR="114300">
                  <wp:extent cx="6648450" cy="49911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0" cy="499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E7A96" w:rsidRDefault="009E7A9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</w:pPr>
            <w:bookmarkStart w:id="6" w:name="_heading=h.vetk7wfs4oxe" w:colFirst="0" w:colLast="0"/>
            <w:bookmarkEnd w:id="6"/>
          </w:p>
          <w:p w:rsidR="009E7A96" w:rsidRDefault="009E7A9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</w:pPr>
            <w:bookmarkStart w:id="7" w:name="_heading=h.t738laiv3i6n" w:colFirst="0" w:colLast="0"/>
            <w:bookmarkEnd w:id="7"/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mallCaps/>
                <w:sz w:val="18"/>
                <w:szCs w:val="18"/>
              </w:rPr>
              <w:lastRenderedPageBreak/>
              <w:t xml:space="preserve">CRONOGRAMA DE CLASES: </w:t>
            </w: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Todos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días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Jueves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segundo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semestre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10:00 a 12:00 hs. con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progresión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enfoques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planteados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pasando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prácticas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resoluciones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hasta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llegar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evaluación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final</w:t>
            </w:r>
          </w:p>
          <w:p w:rsidR="009E7A96" w:rsidRDefault="009E7A9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ESTRATEGIAS  y RECURSOS DIDÁCTICOS</w:t>
            </w: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Creo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Taller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formato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más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apropiado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donde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docente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encarga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mediador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entre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conceptos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vivencias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aprendizajes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observando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dinámica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grupo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creando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atmósfera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necesaria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realización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trata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forma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organiz</w:t>
            </w:r>
            <w:r>
              <w:rPr>
                <w:rFonts w:ascii="Tahoma" w:eastAsia="Tahoma" w:hAnsi="Tahoma" w:cs="Tahoma"/>
                <w:sz w:val="22"/>
                <w:szCs w:val="22"/>
              </w:rPr>
              <w:t>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curricular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donde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integración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contenidos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trabaja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teoría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práctica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través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elaboración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donde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producimos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resultado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lleva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diseño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producción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materiales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etc.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Todo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posibilitando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reflexión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tener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cuidado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avanzar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velocidad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adecuada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adaptada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capacidad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los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participantes</w:t>
            </w:r>
            <w:proofErr w:type="spellEnd"/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Existe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proceso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apropiación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estudiante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lo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vivido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el aula,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desde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activa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mientras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formando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parte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nuevo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onocimiento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. </w:t>
            </w: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Luego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realiza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síntesis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retroalimentación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sesión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lograr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verdadero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aprendizaje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significativo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siempre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teniendo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cuenta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calidad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participación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alegría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disfrute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  <w:p w:rsidR="009E7A96" w:rsidRDefault="009E7A96">
            <w:pPr>
              <w:ind w:left="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EVALUACIÓN:</w:t>
            </w:r>
          </w:p>
          <w:p w:rsidR="009E7A96" w:rsidRDefault="009E7A9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Se propone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desarrollo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lases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aula o patio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durante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ciclo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lectivo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debiendo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tener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70 %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asistencia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Se propone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desarrollo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(1)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Salida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Campo a lo largo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semestre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dependiendo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cantidad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calendario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debiendo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asistir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aprobar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100 % de lo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programado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sobre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misma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;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cual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deberá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recuperar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otra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acordar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Profesor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>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ausentarse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misma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. </w:t>
            </w:r>
          </w:p>
          <w:p w:rsidR="009E7A96" w:rsidRDefault="0003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evaluación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final se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realizará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duplas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en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cual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tendrán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que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elaborar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diseño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sobre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Campamento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Educativo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(antes,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durante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después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).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misma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consta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2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partes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presentación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trabaj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otra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exposición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mismo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ante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sus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compañeros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con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intención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compartir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producción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realizada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luego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proceso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vivenciado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realizar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una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retroalimentación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general.</w:t>
            </w:r>
          </w:p>
          <w:p w:rsidR="009E7A96" w:rsidRDefault="009E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9E7A96">
        <w:tc>
          <w:tcPr>
            <w:tcW w:w="10683" w:type="dxa"/>
            <w:gridSpan w:val="3"/>
          </w:tcPr>
          <w:p w:rsidR="009E7A96" w:rsidRDefault="00034A26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BIBLIOGRAFÍA: </w:t>
            </w:r>
          </w:p>
          <w:p w:rsidR="009E7A96" w:rsidRDefault="009E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9E7A96" w:rsidRDefault="00034A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Waichman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Pablo,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Tiempo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Libre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un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Desafío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Pedagógico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 2005.</w:t>
            </w:r>
          </w:p>
          <w:p w:rsidR="009E7A96" w:rsidRDefault="00034A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Ander, egg, Ezequiel 1990; “La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práctica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Animación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sociocultural),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Humanitas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Tiempo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rondas</w:t>
            </w:r>
            <w:proofErr w:type="spellEnd"/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>. Emanuel Sánchez.</w:t>
            </w:r>
          </w:p>
          <w:p w:rsidR="009E7A96" w:rsidRDefault="00034A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Resoluciones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1000/17 “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Salidas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Escolares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Dirección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General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Escuelas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:rsidR="009E7A96" w:rsidRDefault="00034A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Proyec</w:t>
            </w:r>
            <w:r>
              <w:rPr>
                <w:rFonts w:ascii="Tahoma" w:eastAsia="Tahoma" w:hAnsi="Tahoma" w:cs="Tahoma"/>
                <w:sz w:val="22"/>
                <w:szCs w:val="22"/>
              </w:rPr>
              <w:t>to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Integrado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Vida en la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Naturaleza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. Marco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teórico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Escuela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5-009 </w:t>
            </w:r>
            <w:r w:rsidR="00672447">
              <w:rPr>
                <w:rFonts w:ascii="Tahoma" w:eastAsia="Tahoma" w:hAnsi="Tahoma" w:cs="Tahoma"/>
                <w:sz w:val="22"/>
                <w:szCs w:val="22"/>
              </w:rPr>
              <w:t>“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Profesor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Luis Enrique Lucca</w:t>
            </w:r>
            <w:r w:rsidR="00672447">
              <w:rPr>
                <w:rFonts w:ascii="Tahoma" w:eastAsia="Tahoma" w:hAnsi="Tahoma" w:cs="Tahoma"/>
                <w:sz w:val="22"/>
                <w:szCs w:val="22"/>
              </w:rPr>
              <w:t>”</w:t>
            </w:r>
            <w:bookmarkStart w:id="8" w:name="_GoBack"/>
            <w:bookmarkEnd w:id="8"/>
            <w:r>
              <w:rPr>
                <w:rFonts w:ascii="Tahoma" w:eastAsia="Tahoma" w:hAnsi="Tahoma" w:cs="Tahoma"/>
                <w:sz w:val="22"/>
                <w:szCs w:val="22"/>
              </w:rPr>
              <w:t>. “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Colonias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Educativas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”. Mendoza (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Enfoques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interdisciplinario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Globalizador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Aprendizaje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Significativo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Teoría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Inteligencias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múltiples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Inteligencia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emocion</w:t>
            </w:r>
            <w:r>
              <w:rPr>
                <w:rFonts w:ascii="Tahoma" w:eastAsia="Tahoma" w:hAnsi="Tahoma" w:cs="Tahoma"/>
                <w:sz w:val="22"/>
                <w:szCs w:val="22"/>
              </w:rPr>
              <w:t>al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juego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como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recurso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didáctico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Juego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Cooperativo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, )</w:t>
            </w:r>
          </w:p>
          <w:p w:rsidR="009E7A96" w:rsidRDefault="00034A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Entorno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las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Experiencias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Pedagógicas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Decisivas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(Daniel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Pietro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Castillo)</w:t>
            </w:r>
          </w:p>
          <w:p w:rsidR="009E7A96" w:rsidRDefault="009E7A96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9E7A96" w:rsidRDefault="009E7A96">
      <w:pPr>
        <w:tabs>
          <w:tab w:val="left" w:pos="2327"/>
        </w:tabs>
        <w:spacing w:line="36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:rsidR="009E7A96" w:rsidRDefault="00034A26">
      <w:pPr>
        <w:ind w:left="0" w:hanging="2"/>
      </w:pPr>
      <w:r>
        <w:tab/>
      </w:r>
    </w:p>
    <w:p w:rsidR="009E7A96" w:rsidRDefault="00034A26">
      <w:pPr>
        <w:ind w:left="0" w:hanging="2"/>
      </w:pPr>
      <w:r>
        <w:tab/>
      </w:r>
    </w:p>
    <w:sectPr w:rsidR="009E7A96">
      <w:headerReference w:type="default" r:id="rId9"/>
      <w:pgSz w:w="11907" w:h="16840"/>
      <w:pgMar w:top="720" w:right="720" w:bottom="170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26" w:rsidRDefault="00034A26">
      <w:pPr>
        <w:spacing w:line="240" w:lineRule="auto"/>
        <w:ind w:left="0" w:hanging="2"/>
      </w:pPr>
      <w:r>
        <w:separator/>
      </w:r>
    </w:p>
  </w:endnote>
  <w:endnote w:type="continuationSeparator" w:id="0">
    <w:p w:rsidR="00034A26" w:rsidRDefault="00034A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26" w:rsidRDefault="00034A26">
      <w:pPr>
        <w:spacing w:line="240" w:lineRule="auto"/>
        <w:ind w:left="0" w:hanging="2"/>
      </w:pPr>
      <w:r>
        <w:separator/>
      </w:r>
    </w:p>
  </w:footnote>
  <w:footnote w:type="continuationSeparator" w:id="0">
    <w:p w:rsidR="00034A26" w:rsidRDefault="00034A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96" w:rsidRDefault="00034A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-440053</wp:posOffset>
          </wp:positionH>
          <wp:positionV relativeFrom="paragraph">
            <wp:posOffset>-333373</wp:posOffset>
          </wp:positionV>
          <wp:extent cx="7543800" cy="9429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0579"/>
    <w:multiLevelType w:val="multilevel"/>
    <w:tmpl w:val="2D50B566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C57779"/>
    <w:multiLevelType w:val="multilevel"/>
    <w:tmpl w:val="47E6C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AF9011A"/>
    <w:multiLevelType w:val="multilevel"/>
    <w:tmpl w:val="EDE62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C790034"/>
    <w:multiLevelType w:val="multilevel"/>
    <w:tmpl w:val="D4DA3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96"/>
    <w:rsid w:val="00034A26"/>
    <w:rsid w:val="00672447"/>
    <w:rsid w:val="008E66B1"/>
    <w:rsid w:val="009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BC59-1FF1-4880-BF49-B8AD2EF0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nombreunidad">
    <w:name w:val="cm nombre unidad"/>
    <w:basedOn w:val="Normal"/>
    <w:pPr>
      <w:jc w:val="both"/>
    </w:pPr>
    <w:rPr>
      <w:rFonts w:ascii="Verdana" w:hAnsi="Verdana"/>
      <w:b/>
      <w:bCs/>
      <w:color w:val="000000"/>
      <w:lang w:val="es-ES" w:eastAsia="es-ES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Mencinsinresolver">
    <w:name w:val="Mención sin resolver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OMqZLKslGqsB1jeJBKydY76QA==">AMUW2mV4HcJsEMmNnNyAfA7O7PR7rRzK6Mzwt4JlFQi9J6LmJrka8gxE0er8bm7CZsg4PIbttQXg1v5WkJeuIJLzzKNXoLP7YFjUIr8mBw7/qpQ2frcki4BKDmz4AZUx10J4bKNB0bSHs0yMoTMK+QuCieL4IOpAkW6n111fMcOeDhmcvxjcD4M0jgtMik8drnzoP3+HxC9i2b/B5zcOBkh8wq5xA3NMaguXwUUmCGSTMMqXwufuKgZ+d/22UTaZzoUp9x/M5oQl6T4GBIvIoTRxXgY980U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Gabriel Carbonari</cp:lastModifiedBy>
  <cp:revision>2</cp:revision>
  <dcterms:created xsi:type="dcterms:W3CDTF">2021-04-20T00:45:00Z</dcterms:created>
  <dcterms:modified xsi:type="dcterms:W3CDTF">2022-09-16T11:57:00Z</dcterms:modified>
</cp:coreProperties>
</file>